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RPr="00907DA0" w14:paraId="6D01181C" w14:textId="77777777" w:rsidTr="00731283">
        <w:tc>
          <w:tcPr>
            <w:tcW w:w="2340" w:type="dxa"/>
          </w:tcPr>
          <w:p w14:paraId="25F15C9B" w14:textId="77777777" w:rsidR="001A1ED3" w:rsidRPr="00907DA0" w:rsidRDefault="001A1ED3" w:rsidP="00907DA0">
            <w:pPr>
              <w:tabs>
                <w:tab w:val="right" w:pos="9498"/>
              </w:tabs>
              <w:spacing w:line="276" w:lineRule="auto"/>
              <w:rPr>
                <w:b/>
              </w:rPr>
            </w:pPr>
            <w:r w:rsidRPr="00907DA0">
              <w:t>Numri i lëndës:</w:t>
            </w:r>
          </w:p>
        </w:tc>
        <w:tc>
          <w:tcPr>
            <w:tcW w:w="2250" w:type="dxa"/>
          </w:tcPr>
          <w:p w14:paraId="377A61A7" w14:textId="77777777" w:rsidR="001A1ED3" w:rsidRPr="00907DA0" w:rsidRDefault="002A009B" w:rsidP="00907DA0">
            <w:pPr>
              <w:tabs>
                <w:tab w:val="right" w:pos="9498"/>
              </w:tabs>
              <w:spacing w:line="276" w:lineRule="auto"/>
              <w:rPr>
                <w:b/>
              </w:rPr>
            </w:pPr>
            <w:sdt>
              <w:sdtPr>
                <w:alias w:val="UCN"/>
                <w:tag w:val="case.UniqueCaseNumber"/>
                <w:id w:val="-1427725562"/>
                <w:placeholder>
                  <w:docPart w:val="A3FAC91674364E709B999569989F0D8D"/>
                </w:placeholder>
                <w:text/>
              </w:sdtPr>
              <w:sdtEndPr/>
              <w:sdtContent>
                <w:r w:rsidR="001A1ED3" w:rsidRPr="00907DA0">
                  <w:t>2021:110376</w:t>
                </w:r>
              </w:sdtContent>
            </w:sdt>
          </w:p>
        </w:tc>
      </w:tr>
      <w:tr w:rsidR="001A1ED3" w:rsidRPr="00907DA0" w14:paraId="52F59048" w14:textId="77777777" w:rsidTr="00731283">
        <w:tc>
          <w:tcPr>
            <w:tcW w:w="2340" w:type="dxa"/>
          </w:tcPr>
          <w:p w14:paraId="5E06DF35" w14:textId="77777777" w:rsidR="001A1ED3" w:rsidRPr="00907DA0" w:rsidRDefault="001A1ED3" w:rsidP="00907DA0">
            <w:pPr>
              <w:tabs>
                <w:tab w:val="right" w:pos="9498"/>
              </w:tabs>
              <w:spacing w:line="276" w:lineRule="auto"/>
              <w:rPr>
                <w:b/>
              </w:rPr>
            </w:pPr>
            <w:r w:rsidRPr="00907DA0">
              <w:rPr>
                <w:color w:val="0D0D0D" w:themeColor="text1" w:themeTint="F2"/>
              </w:rPr>
              <w:t>Datë:</w:t>
            </w:r>
          </w:p>
        </w:tc>
        <w:tc>
          <w:tcPr>
            <w:tcW w:w="2250" w:type="dxa"/>
          </w:tcPr>
          <w:p w14:paraId="48ADE9F7" w14:textId="77777777" w:rsidR="001A1ED3" w:rsidRPr="00907DA0" w:rsidRDefault="002A009B" w:rsidP="00907DA0">
            <w:pPr>
              <w:tabs>
                <w:tab w:val="right" w:pos="9498"/>
              </w:tabs>
              <w:spacing w:line="276"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sidRPr="00907DA0">
                  <w:rPr>
                    <w:color w:val="0D0D0D" w:themeColor="text1" w:themeTint="F2"/>
                  </w:rPr>
                  <w:t>21.06.2022</w:t>
                </w:r>
              </w:sdtContent>
            </w:sdt>
          </w:p>
        </w:tc>
      </w:tr>
      <w:tr w:rsidR="001A1ED3" w:rsidRPr="00907DA0" w14:paraId="14DE2D90" w14:textId="77777777" w:rsidTr="00731283">
        <w:tc>
          <w:tcPr>
            <w:tcW w:w="2340" w:type="dxa"/>
          </w:tcPr>
          <w:p w14:paraId="31ACF50C" w14:textId="77777777" w:rsidR="001A1ED3" w:rsidRPr="00907DA0" w:rsidRDefault="001A1ED3" w:rsidP="00907DA0">
            <w:pPr>
              <w:tabs>
                <w:tab w:val="right" w:pos="9498"/>
              </w:tabs>
              <w:spacing w:line="276" w:lineRule="auto"/>
              <w:rPr>
                <w:b/>
              </w:rPr>
            </w:pPr>
            <w:r w:rsidRPr="00907DA0">
              <w:t xml:space="preserve">Numri i dokumentit:    </w:t>
            </w:r>
          </w:p>
        </w:tc>
        <w:tc>
          <w:tcPr>
            <w:tcW w:w="2250" w:type="dxa"/>
          </w:tcPr>
          <w:p w14:paraId="53418D7F" w14:textId="77777777" w:rsidR="001A1ED3" w:rsidRPr="00907DA0" w:rsidRDefault="002A009B" w:rsidP="00907DA0">
            <w:pPr>
              <w:tabs>
                <w:tab w:val="right" w:pos="9498"/>
              </w:tabs>
              <w:spacing w:line="276" w:lineRule="auto"/>
              <w:rPr>
                <w:b/>
              </w:rPr>
            </w:pPr>
            <w:sdt>
              <w:sdtPr>
                <w:alias w:val="Nrdokumentit"/>
                <w:tag w:val="document.DocumentNumberString"/>
                <w:id w:val="157661756"/>
                <w:placeholder>
                  <w:docPart w:val="3515FACDBF8C4C699F6FDCE5BA3592F7"/>
                </w:placeholder>
              </w:sdtPr>
              <w:sdtEndPr/>
              <w:sdtContent>
                <w:r w:rsidR="001A1ED3" w:rsidRPr="00907DA0">
                  <w:t>03157049</w:t>
                </w:r>
              </w:sdtContent>
            </w:sdt>
          </w:p>
        </w:tc>
      </w:tr>
    </w:tbl>
    <w:p w14:paraId="2909D3B3" w14:textId="64C3D553" w:rsidR="001A1ED3" w:rsidRPr="00907DA0" w:rsidRDefault="001A1ED3" w:rsidP="00907DA0">
      <w:pPr>
        <w:spacing w:line="276" w:lineRule="auto"/>
        <w:jc w:val="both"/>
      </w:pPr>
    </w:p>
    <w:p w14:paraId="2111E6D7" w14:textId="77777777" w:rsidR="00AC7A2C" w:rsidRPr="00907DA0" w:rsidRDefault="00AC7A2C" w:rsidP="00907DA0">
      <w:pPr>
        <w:tabs>
          <w:tab w:val="center" w:pos="631"/>
          <w:tab w:val="center" w:pos="1440"/>
          <w:tab w:val="center" w:pos="2160"/>
          <w:tab w:val="center" w:pos="2881"/>
          <w:tab w:val="center" w:pos="3601"/>
          <w:tab w:val="center" w:pos="4321"/>
          <w:tab w:val="center" w:pos="5041"/>
          <w:tab w:val="center" w:pos="5761"/>
          <w:tab w:val="center" w:pos="6481"/>
          <w:tab w:val="center" w:pos="7201"/>
          <w:tab w:val="right" w:pos="9189"/>
        </w:tabs>
        <w:spacing w:line="276" w:lineRule="auto"/>
        <w:jc w:val="right"/>
      </w:pPr>
      <w:r w:rsidRPr="00907DA0">
        <w:t>C.nr.735/21</w:t>
      </w:r>
    </w:p>
    <w:p w14:paraId="46D18246" w14:textId="77777777" w:rsidR="00AC7A2C" w:rsidRPr="00907DA0" w:rsidRDefault="00AC7A2C" w:rsidP="00907DA0">
      <w:pPr>
        <w:tabs>
          <w:tab w:val="left" w:pos="7680"/>
        </w:tabs>
        <w:spacing w:line="276" w:lineRule="auto"/>
      </w:pPr>
    </w:p>
    <w:p w14:paraId="6E7F8BCC" w14:textId="7BA56359" w:rsidR="00AC7A2C" w:rsidRPr="00907DA0" w:rsidRDefault="00AC7A2C" w:rsidP="00907DA0">
      <w:pPr>
        <w:tabs>
          <w:tab w:val="left" w:pos="7680"/>
        </w:tabs>
        <w:spacing w:line="276" w:lineRule="auto"/>
        <w:jc w:val="both"/>
      </w:pPr>
      <w:r w:rsidRPr="00907DA0">
        <w:t>GJYKATA THEMELORE NE GJAKOVË-Departamenti i Përgjithshëm, me gjyqtaren Mirjeta Shala, duke vendosur në çështjen</w:t>
      </w:r>
      <w:r w:rsidR="00725081">
        <w:t xml:space="preserve"> </w:t>
      </w:r>
      <w:proofErr w:type="spellStart"/>
      <w:r w:rsidR="00725081">
        <w:t>kontestimore</w:t>
      </w:r>
      <w:proofErr w:type="spellEnd"/>
      <w:r w:rsidR="00725081">
        <w:t xml:space="preserve"> të paditëses H. H.</w:t>
      </w:r>
      <w:r w:rsidRPr="00907DA0">
        <w:t xml:space="preserve">, nga Gjakova, të cilën sipas autorizimit e përfaqëson Fadil </w:t>
      </w:r>
      <w:proofErr w:type="spellStart"/>
      <w:r w:rsidRPr="00907DA0">
        <w:t>Sinanaj</w:t>
      </w:r>
      <w:proofErr w:type="spellEnd"/>
      <w:r w:rsidRPr="00907DA0">
        <w:t xml:space="preserve">, avokat në Gjilan, me adresë Rr.” Bulevardi i Pavarësisë” H-35, K-2, kundër të paditurës Komuna e Gjakovës - Drejtoria për Shëndetësi dhe Mirëqenie Sociale, të cilën sipas autorizimit e përfaqëson </w:t>
      </w:r>
      <w:proofErr w:type="spellStart"/>
      <w:r w:rsidRPr="00907DA0">
        <w:t>Musë</w:t>
      </w:r>
      <w:proofErr w:type="spellEnd"/>
      <w:r w:rsidRPr="00907DA0">
        <w:t xml:space="preserve"> </w:t>
      </w:r>
      <w:proofErr w:type="spellStart"/>
      <w:r w:rsidRPr="00907DA0">
        <w:t>Gjergjaj</w:t>
      </w:r>
      <w:proofErr w:type="spellEnd"/>
      <w:r w:rsidRPr="00907DA0">
        <w:t>, me objekt kontesti pagesën e shpërblimit jubilar dhe vlera e kontestit 1,131.00€, pas shqyrtimit kryesore publike të mbajtur në prezencë të autorizuarit të paditëses dhe përfaqësuesit të paditurës, më datë 8 qershor 2022, mori këtë:</w:t>
      </w:r>
    </w:p>
    <w:p w14:paraId="2E22FF2E" w14:textId="77777777" w:rsidR="00AC7A2C" w:rsidRPr="00907DA0" w:rsidRDefault="00AC7A2C" w:rsidP="00907DA0">
      <w:pPr>
        <w:spacing w:line="276" w:lineRule="auto"/>
        <w:jc w:val="both"/>
      </w:pPr>
    </w:p>
    <w:p w14:paraId="0FA45B1C" w14:textId="77777777" w:rsidR="00AC7A2C" w:rsidRPr="00907DA0" w:rsidRDefault="00AC7A2C" w:rsidP="00907DA0">
      <w:pPr>
        <w:spacing w:line="276" w:lineRule="auto"/>
        <w:ind w:left="10" w:right="3"/>
        <w:jc w:val="center"/>
      </w:pPr>
      <w:r w:rsidRPr="00907DA0">
        <w:t xml:space="preserve">A  K  T  G  J  Y  K  I  M </w:t>
      </w:r>
    </w:p>
    <w:p w14:paraId="2F47FB05" w14:textId="77777777" w:rsidR="00AC7A2C" w:rsidRPr="00907DA0" w:rsidRDefault="00AC7A2C" w:rsidP="00907DA0">
      <w:pPr>
        <w:tabs>
          <w:tab w:val="left" w:pos="7680"/>
        </w:tabs>
        <w:spacing w:line="276" w:lineRule="auto"/>
        <w:ind w:left="331"/>
        <w:jc w:val="both"/>
      </w:pPr>
    </w:p>
    <w:p w14:paraId="7775AAFB" w14:textId="5F50A58E" w:rsidR="00AC7A2C" w:rsidRPr="00907DA0" w:rsidRDefault="00AC7A2C" w:rsidP="00907DA0">
      <w:pPr>
        <w:tabs>
          <w:tab w:val="left" w:pos="7680"/>
        </w:tabs>
        <w:spacing w:line="276" w:lineRule="auto"/>
        <w:jc w:val="both"/>
      </w:pPr>
      <w:r w:rsidRPr="00907DA0">
        <w:t>I.APROVOHET pjesërisht   e bazua</w:t>
      </w:r>
      <w:r w:rsidR="00725081">
        <w:t>r kërkesëpadia e paditëses H. H.</w:t>
      </w:r>
      <w:r w:rsidRPr="00907DA0">
        <w:t>, nga Gjakova, ashtu që DETYROHET e paditura Komuna e Gjakovës-Drejtoria për Shëndetësi dhe Mirëq</w:t>
      </w:r>
      <w:r w:rsidR="00725081">
        <w:t>enie Sociale, që paditëses H. H.</w:t>
      </w:r>
      <w:r w:rsidRPr="00907DA0">
        <w:t xml:space="preserve"> nga Gjakova, në emër të shpërblimit jubilar  t’ia paguaj vlerën e  tre page bazë në shumën prej 1,131.00€, me kamatë ligjore prej 8%, e cila do të llogaritet nga  datë 03.06.2021 (datë e parashtrimit të padisë) e deri në pagesën definitive, si dhe shpenzimet e procedurës kontestimore në shumë të prej 269.00€, të gjitha këto në afat prej 7 ditësh nga pranimi i këtij aktgjykimi, nën kërcënimin e përmbarimit të detyrueshëm. </w:t>
      </w:r>
    </w:p>
    <w:p w14:paraId="782D59EA" w14:textId="77777777" w:rsidR="00AC7A2C" w:rsidRPr="00907DA0" w:rsidRDefault="00AC7A2C" w:rsidP="00907DA0">
      <w:pPr>
        <w:tabs>
          <w:tab w:val="left" w:pos="7680"/>
        </w:tabs>
        <w:spacing w:line="276" w:lineRule="auto"/>
        <w:ind w:left="331"/>
        <w:jc w:val="both"/>
      </w:pPr>
    </w:p>
    <w:p w14:paraId="7EDF5439" w14:textId="77777777" w:rsidR="00AC7A2C" w:rsidRPr="00907DA0" w:rsidRDefault="00AC7A2C" w:rsidP="00907DA0">
      <w:pPr>
        <w:tabs>
          <w:tab w:val="left" w:pos="7680"/>
        </w:tabs>
        <w:spacing w:line="276" w:lineRule="auto"/>
        <w:jc w:val="both"/>
      </w:pPr>
      <w:r w:rsidRPr="00907DA0">
        <w:t>II.</w:t>
      </w:r>
      <w:r w:rsidRPr="00907DA0">
        <w:rPr>
          <w:bCs/>
        </w:rPr>
        <w:t xml:space="preserve"> REFUZOHET </w:t>
      </w:r>
      <w:r w:rsidRPr="00907DA0">
        <w:t>pjesa tjetër e kërkesë padisë së paditëses  mbi shumat e gjykuara, dhe atë që në emër të  shpërblimit jubilar t’ia paguaj vlerën e një page bazë në lartësi prej 192.06 €, si e pabazuar.</w:t>
      </w:r>
    </w:p>
    <w:p w14:paraId="58AF1667" w14:textId="77777777" w:rsidR="00AC7A2C" w:rsidRPr="00907DA0" w:rsidRDefault="00AC7A2C" w:rsidP="00907DA0">
      <w:pPr>
        <w:tabs>
          <w:tab w:val="left" w:pos="7680"/>
        </w:tabs>
        <w:spacing w:line="276" w:lineRule="auto"/>
        <w:jc w:val="both"/>
        <w:rPr>
          <w:bCs/>
        </w:rPr>
      </w:pPr>
    </w:p>
    <w:p w14:paraId="4FFB4575" w14:textId="77777777" w:rsidR="00AC7A2C" w:rsidRPr="00907DA0" w:rsidRDefault="00AC7A2C" w:rsidP="00907DA0">
      <w:pPr>
        <w:tabs>
          <w:tab w:val="left" w:pos="7680"/>
        </w:tabs>
        <w:spacing w:line="276" w:lineRule="auto"/>
        <w:ind w:left="331"/>
        <w:jc w:val="center"/>
      </w:pPr>
      <w:r w:rsidRPr="00907DA0">
        <w:t>A r s y e t i m</w:t>
      </w:r>
    </w:p>
    <w:p w14:paraId="75A483C0" w14:textId="77777777" w:rsidR="00AC7A2C" w:rsidRPr="00907DA0" w:rsidRDefault="00AC7A2C" w:rsidP="00907DA0">
      <w:pPr>
        <w:tabs>
          <w:tab w:val="left" w:pos="7680"/>
        </w:tabs>
        <w:spacing w:line="276" w:lineRule="auto"/>
        <w:ind w:left="331"/>
        <w:jc w:val="center"/>
      </w:pPr>
    </w:p>
    <w:p w14:paraId="435F4C51" w14:textId="6DFA1487" w:rsidR="00AC7A2C" w:rsidRPr="00907DA0" w:rsidRDefault="00725081" w:rsidP="00907DA0">
      <w:pPr>
        <w:tabs>
          <w:tab w:val="left" w:pos="7680"/>
        </w:tabs>
        <w:spacing w:line="276" w:lineRule="auto"/>
        <w:jc w:val="both"/>
      </w:pPr>
      <w:r>
        <w:t>Paditësja  H. H.</w:t>
      </w:r>
      <w:bookmarkStart w:id="0" w:name="_GoBack"/>
      <w:bookmarkEnd w:id="0"/>
      <w:r w:rsidR="00AC7A2C" w:rsidRPr="00907DA0">
        <w:t xml:space="preserve">, nga Gjakova, përmes përfaqësuesit të autorizuar </w:t>
      </w:r>
      <w:proofErr w:type="spellStart"/>
      <w:r w:rsidR="00AC7A2C" w:rsidRPr="00907DA0">
        <w:t>Av</w:t>
      </w:r>
      <w:proofErr w:type="spellEnd"/>
      <w:r w:rsidR="00AC7A2C" w:rsidRPr="00907DA0">
        <w:t xml:space="preserve">. Fadil </w:t>
      </w:r>
      <w:proofErr w:type="spellStart"/>
      <w:r w:rsidR="00AC7A2C" w:rsidRPr="00907DA0">
        <w:t>Sinanaj</w:t>
      </w:r>
      <w:proofErr w:type="spellEnd"/>
      <w:r w:rsidR="00AC7A2C" w:rsidRPr="00907DA0">
        <w:t xml:space="preserve">, në këtë gjykatë me datën 03.06.2021 ka paraqitur padi kundër të paditurës Komuna e Gjakovës-Drejtoria për Shëndetësi dhe Mirëqenie Sociale në Gjakove, për kompensimin e  shumës në vlerë prej 1323.06 euro në emër të shpërblimi jubilar për 30 vite të përvojës së punës. I autorizuari i paditëses  në padi, gjatë shqyrtimit kryesorë dhe në fjalën e tij përfundimtare ka theksuar se paditësja është në marrëdhënie pune tek e paditura, përkatësisht QKMF në Gjakovë, në pozitën si Asistente e Stomatologjisë në QKMF- në Gjakovë  ku aktualisht i ka bërë 30 vite të përvojës në pune nga çka rrjedh se e njëjti e ka mbushur kushtin ligjor për pagesën e tre pagave mujore </w:t>
      </w:r>
      <w:r w:rsidR="00AC7A2C" w:rsidRPr="00907DA0">
        <w:lastRenderedPageBreak/>
        <w:t>në emër të shpërblimit jubilar të parapara në Kontratën Kolektive Sektoriale, përkatësisht neni 17 nën par 3.3. Tutje ka shtuar se nga lista e pagave, vërtetohet fakti se në muajin shtator të vitit 2021, paditësja pagën mujore e ka pasur në shumën prej 441.02 Euro. Andaj mbi këtë bazë i ka propozuar gjykatës që padia dhe kërkesa e paditëses të aprovohet si e bazuar, ashtu që të detyrohet e paditura që paditëses, të ia paguaj shpërblimin</w:t>
      </w:r>
      <w:r w:rsidR="00BF3F6F" w:rsidRPr="00907DA0">
        <w:t xml:space="preserve"> jubilar në shumë prej 1323.06 e</w:t>
      </w:r>
      <w:r w:rsidR="00AC7A2C" w:rsidRPr="00907DA0">
        <w:t>uro, në vlerë të tre pagave mujore të saj dhe atë me kamatë ligjore prej 8% sipas LMD-së, duke filluar nga dita e paraqitje së padisë e deri në pagesën definitive.</w:t>
      </w:r>
    </w:p>
    <w:p w14:paraId="39FFAB19" w14:textId="77777777" w:rsidR="00AC7A2C" w:rsidRPr="00907DA0" w:rsidRDefault="00AC7A2C" w:rsidP="00907DA0">
      <w:pPr>
        <w:tabs>
          <w:tab w:val="left" w:pos="7680"/>
        </w:tabs>
        <w:spacing w:line="276" w:lineRule="auto"/>
        <w:jc w:val="both"/>
      </w:pPr>
    </w:p>
    <w:p w14:paraId="2053B899" w14:textId="77777777" w:rsidR="00AC7A2C" w:rsidRPr="00907DA0" w:rsidRDefault="00AC7A2C" w:rsidP="00907DA0">
      <w:pPr>
        <w:tabs>
          <w:tab w:val="left" w:pos="7680"/>
        </w:tabs>
        <w:spacing w:line="276" w:lineRule="auto"/>
        <w:jc w:val="both"/>
      </w:pPr>
      <w:r w:rsidRPr="00907DA0">
        <w:rPr>
          <w:bCs/>
        </w:rPr>
        <w:t xml:space="preserve">Shpenzimet procedurale në këtë çështje gjyqësore i ka kërkuar dhe të njëjtat i ka specifikuar dhe atë: për përpilimin e padisë 104,oo € dhe për pjesëmarrjen në një seancë 135,oo € e parapara sipas tarifës të Odës së Avokatëve, ndërsa në emër të taksës gjyqësore për padi shumën prej 30,oo €. </w:t>
      </w:r>
    </w:p>
    <w:p w14:paraId="46DD893E" w14:textId="77777777" w:rsidR="00AC7A2C" w:rsidRPr="00907DA0" w:rsidRDefault="00AC7A2C" w:rsidP="00907DA0">
      <w:pPr>
        <w:tabs>
          <w:tab w:val="left" w:pos="7680"/>
        </w:tabs>
        <w:spacing w:line="276" w:lineRule="auto"/>
        <w:jc w:val="both"/>
      </w:pPr>
    </w:p>
    <w:p w14:paraId="3BE6EA30" w14:textId="77777777" w:rsidR="00AC7A2C" w:rsidRPr="00907DA0" w:rsidRDefault="00AC7A2C" w:rsidP="00907DA0">
      <w:pPr>
        <w:tabs>
          <w:tab w:val="left" w:pos="7680"/>
        </w:tabs>
        <w:spacing w:line="276" w:lineRule="auto"/>
        <w:jc w:val="both"/>
        <w:rPr>
          <w:bCs/>
          <w:color w:val="000000" w:themeColor="text1"/>
        </w:rPr>
      </w:pPr>
      <w:r w:rsidRPr="00907DA0">
        <w:rPr>
          <w:color w:val="000000" w:themeColor="text1"/>
        </w:rPr>
        <w:t>E paditura me përgjigje në padi të parashtruar në gjykatë me datën 20.08.2021, dhe përmes të autorizuarit të saj në shqyrtimin kryesor dhe fjalën e tij përfundimtare e ka kundërshtuar në tërësi padinë dhe kërkesëpadinë e paditëses, duke i propozuar gjykatës që pas administrimit të provave të njëjtën ta refuzojë si të pabazuar.</w:t>
      </w:r>
      <w:r w:rsidRPr="00907DA0">
        <w:rPr>
          <w:bCs/>
          <w:color w:val="000000" w:themeColor="text1"/>
        </w:rPr>
        <w:t xml:space="preserve"> Kjo për faktin se kërkesë padia është e pa bazuar me ligj përkatësisht me ligjin e punës, po ashtu të paditurës i mungon legjitimiteti real pasiv, pasi e njëjta nuk është nënshkruese e kontratës kolektive sektoriale. Në këtë rast padia ka qenë dashur ti drejtohet Ministrisë së Shëndetësisë e jo Komunës së Gjakovës. Shtoj faktin se padia është e parakohshme pasi që nuk janë shtjerrë të gjitha mundësit ligjore të parapara me ligjin e punës në procedurën administrative, e po ashtu kërkesëpadia nuk është parashtruar ashtu siç parashihet me nenin 17 par.3 të Kontratës Kolektive Sektoriale. Më tutje ka theksuar se përves bazës e kundërshtojmë edhe lartësinë e kërkesëpadisë pasi që në pagën e kërkuar janë llogaritur edhe shtesat , e që sipas listës së pagës për paditësin, paga bazë është në lartësi prej 397,00 euro, ndërsa në kërkesëpadi është përfshirë shuma duke kërkuar edhe kujdestarinë në vlerë prej 44.84 Euro. Andaj mbi kështu bazë i propozojë gjykatës që padia dhe kërkesëpadia e paditësit të refuzohet si e pabazuar.</w:t>
      </w:r>
    </w:p>
    <w:p w14:paraId="24B30509" w14:textId="156F99EF" w:rsidR="00AC7A2C" w:rsidRPr="00907DA0" w:rsidRDefault="00AC7A2C" w:rsidP="00907DA0">
      <w:pPr>
        <w:pStyle w:val="NormalWeb"/>
        <w:spacing w:line="276" w:lineRule="auto"/>
        <w:jc w:val="both"/>
        <w:rPr>
          <w:color w:val="000000"/>
          <w:lang w:val="sq-AL"/>
        </w:rPr>
      </w:pPr>
      <w:r w:rsidRPr="00907DA0">
        <w:rPr>
          <w:lang w:val="sq-AL"/>
        </w:rPr>
        <w:t xml:space="preserve">Për vlerësimin e drejtë dhe për të plotë të gjendjes faktike, gjykata në shqyrtimin kryesor publik të mbajtur me </w:t>
      </w:r>
      <w:proofErr w:type="spellStart"/>
      <w:r w:rsidRPr="00907DA0">
        <w:rPr>
          <w:lang w:val="sq-AL"/>
        </w:rPr>
        <w:t>dt</w:t>
      </w:r>
      <w:proofErr w:type="spellEnd"/>
      <w:r w:rsidRPr="00907DA0">
        <w:rPr>
          <w:lang w:val="sq-AL"/>
        </w:rPr>
        <w:t xml:space="preserve"> 08.06.2022 bëri administrimin e të </w:t>
      </w:r>
      <w:r w:rsidR="008B0307" w:rsidRPr="00907DA0">
        <w:rPr>
          <w:lang w:val="sq-AL"/>
        </w:rPr>
        <w:t xml:space="preserve">gjitha provave </w:t>
      </w:r>
      <w:r w:rsidRPr="00907DA0">
        <w:rPr>
          <w:lang w:val="sq-AL"/>
        </w:rPr>
        <w:t xml:space="preserve"> dhe atë:</w:t>
      </w:r>
      <w:r w:rsidRPr="00907DA0">
        <w:rPr>
          <w:bCs/>
          <w:lang w:val="sq-AL"/>
        </w:rPr>
        <w:t xml:space="preserve">  </w:t>
      </w:r>
      <w:r w:rsidRPr="00907DA0">
        <w:rPr>
          <w:color w:val="000000"/>
          <w:lang w:val="sq-AL"/>
        </w:rPr>
        <w:t xml:space="preserve">Kontratë pune me Nr.455 e datës 27.02.2012 e lëshuar nga QKMF – Gjakovë, Vërtetimi me Nr.201/17 i dt. 25.05.2021 e lëshuar nga Qendra Kryesore e Mjekësisë Familjare në Gjakovë, Lista e pagave e </w:t>
      </w:r>
      <w:proofErr w:type="spellStart"/>
      <w:r w:rsidRPr="00907DA0">
        <w:rPr>
          <w:color w:val="000000"/>
          <w:lang w:val="sq-AL"/>
        </w:rPr>
        <w:t>muajti</w:t>
      </w:r>
      <w:proofErr w:type="spellEnd"/>
      <w:r w:rsidRPr="00907DA0">
        <w:rPr>
          <w:color w:val="000000"/>
          <w:lang w:val="sq-AL"/>
        </w:rPr>
        <w:t xml:space="preserve"> Prill 2021.</w:t>
      </w:r>
    </w:p>
    <w:p w14:paraId="02D4FCB2" w14:textId="2659B87B" w:rsidR="00AC7A2C" w:rsidRPr="00907DA0" w:rsidRDefault="00AC7A2C" w:rsidP="00907DA0">
      <w:pPr>
        <w:tabs>
          <w:tab w:val="left" w:pos="7680"/>
        </w:tabs>
        <w:spacing w:line="276" w:lineRule="auto"/>
        <w:jc w:val="both"/>
        <w:rPr>
          <w:rStyle w:val="fontstyle01"/>
        </w:rPr>
      </w:pPr>
      <w:r w:rsidRPr="00907DA0">
        <w:t xml:space="preserve">Gjykata pasi bëri vlerësimin e secilës provë </w:t>
      </w:r>
      <w:proofErr w:type="spellStart"/>
      <w:r w:rsidRPr="00907DA0">
        <w:t>veҫ</w:t>
      </w:r>
      <w:proofErr w:type="spellEnd"/>
      <w:r w:rsidRPr="00907DA0">
        <w:t xml:space="preserve"> e </w:t>
      </w:r>
      <w:proofErr w:type="spellStart"/>
      <w:r w:rsidRPr="00907DA0">
        <w:t>veҫ</w:t>
      </w:r>
      <w:proofErr w:type="spellEnd"/>
      <w:r w:rsidRPr="00907DA0">
        <w:t xml:space="preserve"> dhe të gjithave së bashku, mbështetur në dispozitat e nenit 8 të Ligjit të Procedurës Kontestimore (LPK), gjeti se kërkesëpadia e padit</w:t>
      </w:r>
      <w:r w:rsidR="00F351BC" w:rsidRPr="00907DA0">
        <w:t>ëses është pjesërisht e bazuar.</w:t>
      </w:r>
    </w:p>
    <w:p w14:paraId="3FEEE4A6" w14:textId="77777777" w:rsidR="00AC7A2C" w:rsidRPr="00907DA0" w:rsidRDefault="00AC7A2C" w:rsidP="00907DA0">
      <w:pPr>
        <w:tabs>
          <w:tab w:val="left" w:pos="7680"/>
        </w:tabs>
        <w:spacing w:line="276" w:lineRule="auto"/>
        <w:jc w:val="both"/>
        <w:rPr>
          <w:rStyle w:val="fontstyle01"/>
        </w:rPr>
      </w:pPr>
    </w:p>
    <w:p w14:paraId="4AC67FAF" w14:textId="77777777" w:rsidR="00AC7A2C" w:rsidRPr="00907DA0" w:rsidRDefault="00AC7A2C" w:rsidP="00907DA0">
      <w:pPr>
        <w:tabs>
          <w:tab w:val="left" w:pos="7680"/>
        </w:tabs>
        <w:spacing w:line="276" w:lineRule="auto"/>
        <w:jc w:val="both"/>
        <w:rPr>
          <w:rStyle w:val="fontstyle01"/>
        </w:rPr>
      </w:pPr>
      <w:r w:rsidRPr="00907DA0">
        <w:rPr>
          <w:rStyle w:val="fontstyle01"/>
        </w:rPr>
        <w:t xml:space="preserve">Nga kontrata e punës me Nr.455 e datës 27.03.2012 gjykata vërtetojë faktin se paditësja është në marrëdhënie pune te e paditura, respektivisht  QKMF Gjakovë në detyrat e punës si As. e Stomatologjisë, në kohë të pacaktuar.  </w:t>
      </w:r>
    </w:p>
    <w:p w14:paraId="3C1D4314" w14:textId="77777777" w:rsidR="00AC7A2C" w:rsidRPr="00907DA0" w:rsidRDefault="00AC7A2C" w:rsidP="00907DA0">
      <w:pPr>
        <w:tabs>
          <w:tab w:val="left" w:pos="7680"/>
        </w:tabs>
        <w:spacing w:line="276" w:lineRule="auto"/>
        <w:jc w:val="both"/>
        <w:rPr>
          <w:rStyle w:val="fontstyle01"/>
        </w:rPr>
      </w:pPr>
    </w:p>
    <w:p w14:paraId="49A31C53" w14:textId="363451EF" w:rsidR="00AC7A2C" w:rsidRPr="00907DA0" w:rsidRDefault="00AC7A2C" w:rsidP="00907DA0">
      <w:pPr>
        <w:tabs>
          <w:tab w:val="left" w:pos="7680"/>
        </w:tabs>
        <w:spacing w:line="276" w:lineRule="auto"/>
        <w:jc w:val="both"/>
        <w:rPr>
          <w:rStyle w:val="fontstyle01"/>
        </w:rPr>
      </w:pPr>
      <w:r w:rsidRPr="00907DA0">
        <w:rPr>
          <w:rStyle w:val="fontstyle01"/>
        </w:rPr>
        <w:t xml:space="preserve">Me Vërtetimin e lëshuar nga Qendra Kryesore e Mjekësisë Familjare me Nr. i datës 25,05,2021  gjykata vërtetoj  faktin se </w:t>
      </w:r>
      <w:r w:rsidR="00FE3C4A" w:rsidRPr="00907DA0">
        <w:rPr>
          <w:rStyle w:val="fontstyle01"/>
        </w:rPr>
        <w:t>paditësja</w:t>
      </w:r>
      <w:r w:rsidRPr="00907DA0">
        <w:rPr>
          <w:rStyle w:val="fontstyle01"/>
        </w:rPr>
        <w:t xml:space="preserve"> i ka 30  vite përvojë punë pranë të paditurës. E  </w:t>
      </w:r>
      <w:r w:rsidR="00FE3C4A" w:rsidRPr="00907DA0">
        <w:rPr>
          <w:rStyle w:val="fontstyle01"/>
        </w:rPr>
        <w:t>njëjta</w:t>
      </w:r>
      <w:r w:rsidRPr="00907DA0">
        <w:rPr>
          <w:rStyle w:val="fontstyle01"/>
        </w:rPr>
        <w:t xml:space="preserve">  realizon </w:t>
      </w:r>
      <w:r w:rsidRPr="00907DA0">
        <w:rPr>
          <w:rStyle w:val="fontstyle01"/>
        </w:rPr>
        <w:lastRenderedPageBreak/>
        <w:t xml:space="preserve">të hyra nga paga bazë në vlerë prej 377.00€ e përcaktuar sipas </w:t>
      </w:r>
      <w:r w:rsidRPr="00907DA0">
        <w:t>listës së pagave e dt.28 Prill 2021 e lëshuar nga Buxheti i Republikës së Kosovës.</w:t>
      </w:r>
    </w:p>
    <w:p w14:paraId="11826FA0" w14:textId="77777777" w:rsidR="00AC7A2C" w:rsidRPr="00907DA0" w:rsidRDefault="00AC7A2C" w:rsidP="00907DA0">
      <w:pPr>
        <w:tabs>
          <w:tab w:val="left" w:pos="7680"/>
        </w:tabs>
        <w:spacing w:line="276" w:lineRule="auto"/>
        <w:ind w:left="331"/>
        <w:jc w:val="both"/>
        <w:rPr>
          <w:rStyle w:val="fontstyle01"/>
        </w:rPr>
      </w:pPr>
    </w:p>
    <w:p w14:paraId="54010DF0" w14:textId="77777777" w:rsidR="00AC7A2C" w:rsidRPr="00907DA0" w:rsidRDefault="00AC7A2C" w:rsidP="00907DA0">
      <w:pPr>
        <w:tabs>
          <w:tab w:val="left" w:pos="7680"/>
        </w:tabs>
        <w:spacing w:line="276" w:lineRule="auto"/>
        <w:jc w:val="both"/>
      </w:pPr>
      <w:r w:rsidRPr="00907DA0">
        <w:t xml:space="preserve">Gjykata </w:t>
      </w:r>
      <w:proofErr w:type="spellStart"/>
      <w:r w:rsidRPr="00907DA0">
        <w:t>gjenë</w:t>
      </w:r>
      <w:proofErr w:type="spellEnd"/>
      <w:r w:rsidRPr="00907DA0">
        <w:t xml:space="preserve"> se në rastin në fjalë duhet të zbatohen dispozitat e Kontratës Kolektive Sektoriale në Kosovë (KKS) të miratuar dhe të nënshkruar nga Ministria e Shëndetësisë së Kosovës dhe Federata e Sindikatave të Shëndetësisë së Kosovës me datën 11.06.2018 (e cila është e zbatueshme prej datës së nënshkrimit të saj).  </w:t>
      </w:r>
    </w:p>
    <w:p w14:paraId="47808E99" w14:textId="77777777" w:rsidR="00AC7A2C" w:rsidRPr="00907DA0" w:rsidRDefault="00AC7A2C" w:rsidP="00907DA0">
      <w:pPr>
        <w:tabs>
          <w:tab w:val="left" w:pos="7680"/>
        </w:tabs>
        <w:spacing w:line="276" w:lineRule="auto"/>
        <w:ind w:left="331"/>
        <w:jc w:val="both"/>
      </w:pPr>
    </w:p>
    <w:p w14:paraId="29EB5854" w14:textId="77777777" w:rsidR="00AC7A2C" w:rsidRPr="00907DA0" w:rsidRDefault="00AC7A2C" w:rsidP="00907DA0">
      <w:pPr>
        <w:tabs>
          <w:tab w:val="left" w:pos="7680"/>
        </w:tabs>
        <w:spacing w:line="276" w:lineRule="auto"/>
        <w:jc w:val="both"/>
      </w:pPr>
      <w:r w:rsidRPr="00907DA0">
        <w:t xml:space="preserve">Me neni 4 paragrafi 1 i KKS përcakton se: </w:t>
      </w:r>
      <w:r w:rsidRPr="00907DA0">
        <w:rPr>
          <w:i/>
        </w:rPr>
        <w:t xml:space="preserve">“KKS-ja gjen zbatim për rregullimin e raporteve juridike për të gjithë të punësuarit nëpër institucione shëndetësore, duke përfshirë tri nivele të sistemit shëndetësor, atë parësor, dytësor dhe </w:t>
      </w:r>
      <w:proofErr w:type="spellStart"/>
      <w:r w:rsidRPr="00907DA0">
        <w:rPr>
          <w:i/>
        </w:rPr>
        <w:t>tretësor</w:t>
      </w:r>
      <w:proofErr w:type="spellEnd"/>
      <w:r w:rsidRPr="00907DA0">
        <w:rPr>
          <w:i/>
        </w:rPr>
        <w:t xml:space="preserve">”, ndërsa </w:t>
      </w:r>
      <w:r w:rsidRPr="00907DA0">
        <w:t xml:space="preserve">me nenin 17 par. 3 pika 3.3, të KKS parashihet se“ </w:t>
      </w:r>
      <w:r w:rsidRPr="00907DA0">
        <w:rPr>
          <w:i/>
        </w:rPr>
        <w:t xml:space="preserve">Punëtorët shëndetësor, në vitet jubilare të punësimit përfitojnë shpërblimin jubilar nga punëdhënësi i fundit në vlerë […] Për 30 vjet të përvojës në punë në institucione shëndetësore, te punëdhënësi i fundit, në vlerë të tre page mujore të tij”, </w:t>
      </w:r>
      <w:r w:rsidRPr="00907DA0">
        <w:t>ndërsa par. 4 i këtij neni parashihet se “</w:t>
      </w:r>
      <w:r w:rsidRPr="00907DA0">
        <w:rPr>
          <w:i/>
          <w:iCs/>
        </w:rPr>
        <w:t xml:space="preserve">Punëdhënësi i fundit është ai që paguan shpërblime jubilare, shpërblimi jubilar, paguhet në afat prej një muaji, pas plotësimit të kushteve nga ky paragraf”. </w:t>
      </w:r>
    </w:p>
    <w:p w14:paraId="44A852B3" w14:textId="77777777" w:rsidR="00AC7A2C" w:rsidRPr="00907DA0" w:rsidRDefault="00AC7A2C" w:rsidP="00907DA0">
      <w:pPr>
        <w:tabs>
          <w:tab w:val="left" w:pos="7680"/>
        </w:tabs>
        <w:spacing w:line="276" w:lineRule="auto"/>
        <w:ind w:left="331"/>
        <w:jc w:val="both"/>
      </w:pPr>
    </w:p>
    <w:p w14:paraId="0879821C" w14:textId="088F6270" w:rsidR="00AC7A2C" w:rsidRPr="00907DA0" w:rsidRDefault="00AC7A2C" w:rsidP="00907DA0">
      <w:pPr>
        <w:tabs>
          <w:tab w:val="left" w:pos="7680"/>
        </w:tabs>
        <w:spacing w:line="276" w:lineRule="auto"/>
        <w:jc w:val="both"/>
      </w:pPr>
      <w:r w:rsidRPr="00907DA0">
        <w:rPr>
          <w:iCs/>
        </w:rPr>
        <w:t xml:space="preserve">Gjykata vendosi si në pikë I të dispozitivit të këtij aktgjykimi pasi që nga provat e administruara dhe të elaboruara si më lartë, gjeti se paditësja tek e paditura i ka 30 vite </w:t>
      </w:r>
      <w:proofErr w:type="spellStart"/>
      <w:r w:rsidRPr="00907DA0">
        <w:rPr>
          <w:iCs/>
        </w:rPr>
        <w:t>përvoj</w:t>
      </w:r>
      <w:proofErr w:type="spellEnd"/>
      <w:r w:rsidRPr="00907DA0">
        <w:rPr>
          <w:iCs/>
        </w:rPr>
        <w:t xml:space="preserve"> pune, fakt ky i vërtetuar përmes </w:t>
      </w:r>
      <w:r w:rsidRPr="00907DA0">
        <w:rPr>
          <w:rStyle w:val="fontstyle01"/>
        </w:rPr>
        <w:t xml:space="preserve">vërtetimin e lëshuar nga Qendra Kryesore e Mjekësisë Familjare me 201/17 i datës 25.05.2021 </w:t>
      </w:r>
      <w:r w:rsidRPr="00907DA0">
        <w:rPr>
          <w:iCs/>
        </w:rPr>
        <w:t>dhe rrjedhimisht e njëjta i  ka plotësuar kushtet e parapare me nenin 17 par.3 pika 3.3 të KKS, për të qenë përfituese e  shpërblimi jubilar në vlerë të tre pagave bazë, mirëpo të njëjtës nuk i  janë paguar nga ana e të paditurës. Lartësinë e pagesë bazë në shumë prej 377.00€, gjykata e vërtetoi sipas listës së pagave të lëshuar nga Buxheti i Republikës së Kosovës, për muajin prill 2021. Nga kjo rezulton se paditëses në emër të shpërblimit jubilar për 30 vite përvojë të punës i takojnë</w:t>
      </w:r>
      <w:r w:rsidR="008B0307" w:rsidRPr="00907DA0">
        <w:rPr>
          <w:iCs/>
        </w:rPr>
        <w:t xml:space="preserve"> </w:t>
      </w:r>
      <w:r w:rsidRPr="00907DA0">
        <w:rPr>
          <w:iCs/>
        </w:rPr>
        <w:t>1,131.00</w:t>
      </w:r>
      <w:r w:rsidRPr="00907DA0">
        <w:rPr>
          <w:i/>
          <w:iCs/>
        </w:rPr>
        <w:t xml:space="preserve">€. </w:t>
      </w:r>
      <w:r w:rsidRPr="00907DA0">
        <w:rPr>
          <w:iCs/>
        </w:rPr>
        <w:t xml:space="preserve">Për faktin se paditësja ende vazhdon të punoj te e paditura, rrjedh se si punëdhënës i fundit për të njëjtën është </w:t>
      </w:r>
      <w:r w:rsidRPr="00907DA0">
        <w:t>Komuna e Gjakovës, Drejtoria për Shëndetësi dhe Mirëqenie Sociale, me seli në Gjakovë.</w:t>
      </w:r>
      <w:r w:rsidRPr="00907DA0">
        <w:rPr>
          <w:iCs/>
        </w:rPr>
        <w:t xml:space="preserve"> </w:t>
      </w:r>
    </w:p>
    <w:p w14:paraId="388120EC" w14:textId="77777777" w:rsidR="00AC7A2C" w:rsidRPr="00907DA0" w:rsidRDefault="00AC7A2C" w:rsidP="00907DA0">
      <w:pPr>
        <w:tabs>
          <w:tab w:val="left" w:pos="7680"/>
        </w:tabs>
        <w:spacing w:line="276" w:lineRule="auto"/>
        <w:ind w:left="331"/>
        <w:jc w:val="both"/>
      </w:pPr>
    </w:p>
    <w:p w14:paraId="4CD8D2C7" w14:textId="77777777" w:rsidR="00AC7A2C" w:rsidRPr="00907DA0" w:rsidRDefault="00AC7A2C" w:rsidP="00907DA0">
      <w:pPr>
        <w:tabs>
          <w:tab w:val="left" w:pos="7680"/>
        </w:tabs>
        <w:spacing w:line="276" w:lineRule="auto"/>
        <w:jc w:val="both"/>
      </w:pPr>
      <w:r w:rsidRPr="00907DA0">
        <w:rPr>
          <w:iCs/>
        </w:rPr>
        <w:t xml:space="preserve">Duke qenë se ka lindur e drejta e paditëses  për të kërkuar në rrugë gjyqësore realizimin e të drejtës për shpërblim jubilar, e njëjta është e legjitimuar që të kërkojë përmbushjen e detyrimit nga e paditura, së këndejmi, paditësja e ka rolin e kreditorit kurse i padituri rolin e debitorit. Në kuptim të nenit 245 të Ligjit nr. 04/L-077 për marrëdhëniet e detyrimeve </w:t>
      </w:r>
      <w:r w:rsidRPr="00907DA0">
        <w:rPr>
          <w:i/>
          <w:iCs/>
        </w:rPr>
        <w:t xml:space="preserve">Kreditori në marrëdhënien e detyrimit ka të drejtë që prej debitorit të kërkojë përmbushjen e detyrimit, ndërsa debitori ka për detyrë ta përmbushë atë me ndërgjegje dhe në tërësi, në përputhje me përmbajtjen e tij. </w:t>
      </w:r>
      <w:r w:rsidRPr="00907DA0">
        <w:rPr>
          <w:iCs/>
        </w:rPr>
        <w:t xml:space="preserve">Rrjedhimisht, duke qenë se e paditura i ka mbetur borxh paditëses, me aplikimin e dispozitës së lartcekur dhe në bazë të gjendjes së vërtetuar faktike, vendosi që ta detyroj të paditurën që paditëses t’ia kompensoj shumën si në  pikën I të dispozitivit të këtij aktgjykimit. </w:t>
      </w:r>
    </w:p>
    <w:p w14:paraId="351AFC5A" w14:textId="77777777" w:rsidR="00AC7A2C" w:rsidRPr="00907DA0" w:rsidRDefault="00AC7A2C" w:rsidP="00907DA0">
      <w:pPr>
        <w:tabs>
          <w:tab w:val="left" w:pos="7680"/>
        </w:tabs>
        <w:spacing w:line="276" w:lineRule="auto"/>
        <w:ind w:left="331"/>
        <w:jc w:val="both"/>
      </w:pPr>
    </w:p>
    <w:p w14:paraId="674FDD4A" w14:textId="77777777" w:rsidR="00AC7A2C" w:rsidRPr="00907DA0" w:rsidRDefault="00AC7A2C" w:rsidP="00907DA0">
      <w:pPr>
        <w:tabs>
          <w:tab w:val="left" w:pos="7680"/>
        </w:tabs>
        <w:spacing w:line="276" w:lineRule="auto"/>
        <w:jc w:val="both"/>
      </w:pPr>
      <w:r w:rsidRPr="00907DA0">
        <w:rPr>
          <w:rStyle w:val="fontstyle01"/>
        </w:rPr>
        <w:t>Lidhur me pretendimin e të paditurës se nuk ka legjitimitet real pasiv për faktin se nuk janë nënshkruese të kësaj kontrate, gjykata</w:t>
      </w:r>
      <w:r w:rsidRPr="00907DA0">
        <w:t xml:space="preserve"> </w:t>
      </w:r>
      <w:r w:rsidRPr="00907DA0">
        <w:rPr>
          <w:rStyle w:val="fontstyle01"/>
        </w:rPr>
        <w:t>vë në dukje se Ministria e Shëndetësisë dhe Federata e Sindikatave të Shëndetësisë së</w:t>
      </w:r>
      <w:r w:rsidRPr="00907DA0">
        <w:t xml:space="preserve"> </w:t>
      </w:r>
      <w:r w:rsidRPr="00907DA0">
        <w:rPr>
          <w:rStyle w:val="fontstyle01"/>
        </w:rPr>
        <w:t>Kosovës, kanë marrë përsipër që për stafin shëndetësor të rregullohen raportet që parashihen</w:t>
      </w:r>
      <w:r w:rsidRPr="00907DA0">
        <w:t xml:space="preserve"> </w:t>
      </w:r>
      <w:r w:rsidRPr="00907DA0">
        <w:rPr>
          <w:rStyle w:val="fontstyle01"/>
        </w:rPr>
        <w:t>me këtë kontratë. Në kuptim të kësaj, të punësuarit në sektorin e shëndetësisë nuk mund të</w:t>
      </w:r>
      <w:r w:rsidRPr="00907DA0">
        <w:t xml:space="preserve"> </w:t>
      </w:r>
      <w:r w:rsidRPr="00907DA0">
        <w:rPr>
          <w:rStyle w:val="fontstyle01"/>
        </w:rPr>
        <w:t>vlerësohen ndaras, por se ata janë të punësuar në një sistem unitar të shëndetësisë, duke</w:t>
      </w:r>
      <w:r w:rsidRPr="00907DA0">
        <w:t xml:space="preserve"> </w:t>
      </w:r>
      <w:r w:rsidRPr="00907DA0">
        <w:rPr>
          <w:rStyle w:val="fontstyle01"/>
        </w:rPr>
        <w:t xml:space="preserve">përfshirë nivelin qendror dhe lokal. Prandaj pretendimi për t’iu shmangur </w:t>
      </w:r>
      <w:r w:rsidRPr="00907DA0">
        <w:rPr>
          <w:rStyle w:val="fontstyle01"/>
        </w:rPr>
        <w:lastRenderedPageBreak/>
        <w:t>pagimit të</w:t>
      </w:r>
      <w:r w:rsidRPr="00907DA0">
        <w:t xml:space="preserve"> </w:t>
      </w:r>
      <w:r w:rsidRPr="00907DA0">
        <w:rPr>
          <w:rStyle w:val="fontstyle01"/>
        </w:rPr>
        <w:t>obligimeve të marra përmes KKSSH, do të ishte në kundërshtim me atë që është zotuar Ministria e Shëndetësisë.</w:t>
      </w:r>
    </w:p>
    <w:p w14:paraId="7DE93C7E" w14:textId="77777777" w:rsidR="00AC7A2C" w:rsidRPr="00907DA0" w:rsidRDefault="00AC7A2C" w:rsidP="00907DA0">
      <w:pPr>
        <w:tabs>
          <w:tab w:val="left" w:pos="7680"/>
        </w:tabs>
        <w:spacing w:line="276" w:lineRule="auto"/>
        <w:ind w:left="331"/>
        <w:jc w:val="both"/>
      </w:pPr>
    </w:p>
    <w:p w14:paraId="77C29B17" w14:textId="77777777" w:rsidR="00AC7A2C" w:rsidRPr="00907DA0" w:rsidRDefault="00AC7A2C" w:rsidP="00907DA0">
      <w:pPr>
        <w:tabs>
          <w:tab w:val="left" w:pos="7680"/>
        </w:tabs>
        <w:spacing w:line="276" w:lineRule="auto"/>
        <w:jc w:val="both"/>
      </w:pPr>
      <w:r w:rsidRPr="00907DA0">
        <w:t xml:space="preserve">Lartësia e kamatës së përcaktuar prej 8 %, i referohet nenit 382 të LMD-së dhe kamata është llogaritur prej </w:t>
      </w:r>
      <w:proofErr w:type="spellStart"/>
      <w:r w:rsidRPr="00907DA0">
        <w:rPr>
          <w:rStyle w:val="fontstyle01"/>
        </w:rPr>
        <w:t>dt</w:t>
      </w:r>
      <w:proofErr w:type="spellEnd"/>
      <w:r w:rsidRPr="00907DA0">
        <w:rPr>
          <w:rStyle w:val="fontstyle01"/>
        </w:rPr>
        <w:t xml:space="preserve"> 03.06.2021 nga dita e parashtrimit të padisë.</w:t>
      </w:r>
    </w:p>
    <w:p w14:paraId="7FC4C227" w14:textId="77777777" w:rsidR="00AC7A2C" w:rsidRPr="00907DA0" w:rsidRDefault="00AC7A2C" w:rsidP="00907DA0">
      <w:pPr>
        <w:tabs>
          <w:tab w:val="left" w:pos="7680"/>
        </w:tabs>
        <w:spacing w:line="276" w:lineRule="auto"/>
        <w:ind w:left="331"/>
        <w:jc w:val="both"/>
      </w:pPr>
    </w:p>
    <w:p w14:paraId="3A595BA9" w14:textId="151FCBAF" w:rsidR="00AC7A2C" w:rsidRPr="00907DA0" w:rsidRDefault="00AC7A2C" w:rsidP="00907DA0">
      <w:pPr>
        <w:tabs>
          <w:tab w:val="left" w:pos="7680"/>
        </w:tabs>
        <w:spacing w:line="276" w:lineRule="auto"/>
        <w:jc w:val="both"/>
      </w:pPr>
      <w:r w:rsidRPr="00907DA0">
        <w:rPr>
          <w:iCs/>
        </w:rPr>
        <w:t xml:space="preserve">Në anën tjetër, me nenin 55 par.2 të Ligjit Nr.03/L-212 të Punës , parasheh  se “i </w:t>
      </w:r>
      <w:r w:rsidRPr="00907DA0">
        <w:rPr>
          <w:i/>
          <w:iCs/>
        </w:rPr>
        <w:t xml:space="preserve">punësuari ka të drejtë për </w:t>
      </w:r>
      <w:r w:rsidRPr="00907DA0">
        <w:rPr>
          <w:b/>
          <w:i/>
          <w:iCs/>
          <w:u w:val="single"/>
        </w:rPr>
        <w:t>pagë</w:t>
      </w:r>
      <w:r w:rsidRPr="00907DA0">
        <w:rPr>
          <w:i/>
          <w:iCs/>
          <w:u w:val="single"/>
        </w:rPr>
        <w:t>,</w:t>
      </w:r>
      <w:r w:rsidRPr="00907DA0">
        <w:rPr>
          <w:i/>
          <w:iCs/>
        </w:rPr>
        <w:t xml:space="preserve"> pagën shtesë, kompensimin në pagë dhe të ardhurat e tjera, i punësuari i realizon sipas marrëveshjes së arritur me punëdhënësin për punën e kryer dhe kohën e kaluar në punë, të përcaktuar me Kontratën e Punës”</w:t>
      </w:r>
      <w:r w:rsidR="008B0307" w:rsidRPr="00907DA0">
        <w:rPr>
          <w:iCs/>
        </w:rPr>
        <w:t>, ndërsa neni 17 par. 3 pika 3.3</w:t>
      </w:r>
      <w:r w:rsidRPr="00907DA0">
        <w:rPr>
          <w:iCs/>
        </w:rPr>
        <w:t xml:space="preserve"> i KKS-së, thotë i punësuari </w:t>
      </w:r>
      <w:r w:rsidR="008B0307" w:rsidRPr="00907DA0">
        <w:rPr>
          <w:iCs/>
        </w:rPr>
        <w:t xml:space="preserve">ka të drejtë e realizimit e tri pagave  </w:t>
      </w:r>
      <w:r w:rsidRPr="00907DA0">
        <w:rPr>
          <w:iCs/>
        </w:rPr>
        <w:t>bazë e që nuk i përfshinë shtesat tjera nga paga. Pra ky përcaktim ligjor nga ky nen, ndan atë çka nënkupton pagë, dhe shtesa nga paga.  Mbi këtë bazë gjykata vendosi si në pikën II të dispozitivit të këtij aktgjykimi, duke e refuzuar pjesën e kërkesëpadisë përtej shumës nga pika I e dispozitivit të këtij aktg</w:t>
      </w:r>
      <w:r w:rsidR="00FE3C4A" w:rsidRPr="00907DA0">
        <w:rPr>
          <w:iCs/>
        </w:rPr>
        <w:t>jykimi, përkatësisht prej 192.06</w:t>
      </w:r>
      <w:r w:rsidRPr="00907DA0">
        <w:rPr>
          <w:iCs/>
        </w:rPr>
        <w:t xml:space="preserve">€ (që përfshinë shtesën e kujdestarisë dhe shtesën në shëndetësi), pasi që gjykata e vlerësoi se paditësit i takon një pagë bazë te paraparë si në listën e pagave (377.00€), dhe jo duke përfshirë shtesat që i ka pranuar nga e paditura. Kjo për faktin se  shtesat tjera nga paga, duke përfshirë </w:t>
      </w:r>
      <w:proofErr w:type="spellStart"/>
      <w:r w:rsidRPr="00907DA0">
        <w:rPr>
          <w:iCs/>
        </w:rPr>
        <w:t>bonuset</w:t>
      </w:r>
      <w:proofErr w:type="spellEnd"/>
      <w:r w:rsidRPr="00907DA0">
        <w:rPr>
          <w:iCs/>
        </w:rPr>
        <w:t xml:space="preserve"> etj., të punësuarit i takojnë kur ai gjatë angazhimit në detyra të punës arrin të realizoj shtesat në ushqim, punë jashtë orari etj.</w:t>
      </w:r>
    </w:p>
    <w:p w14:paraId="111E483A" w14:textId="77777777" w:rsidR="00AC7A2C" w:rsidRPr="00907DA0" w:rsidRDefault="00AC7A2C" w:rsidP="00907DA0">
      <w:pPr>
        <w:tabs>
          <w:tab w:val="left" w:pos="7680"/>
        </w:tabs>
        <w:spacing w:line="276" w:lineRule="auto"/>
        <w:ind w:left="331"/>
        <w:jc w:val="both"/>
      </w:pPr>
    </w:p>
    <w:p w14:paraId="51C586C7" w14:textId="77777777" w:rsidR="00AC7A2C" w:rsidRPr="00907DA0" w:rsidRDefault="00AC7A2C" w:rsidP="00907DA0">
      <w:pPr>
        <w:spacing w:line="276" w:lineRule="auto"/>
        <w:jc w:val="both"/>
      </w:pPr>
      <w:r w:rsidRPr="00907DA0">
        <w:rPr>
          <w:rFonts w:eastAsia="Arial Unicode MS"/>
        </w:rPr>
        <w:t>Gjykata vlerësoi edhe pretendimet e tjera të autorizuarit të paditëses dhe të autorizuarit të  paditurës, por gjeti se të njëjtat në këtë çështje juridike kontestimore nuk kanë ndikim në vendosjen ndryshe, nga ajo që ka vendosur si në dispozitiv të këtij aktgjykimi.</w:t>
      </w:r>
    </w:p>
    <w:p w14:paraId="21D0527E" w14:textId="77777777" w:rsidR="00AC7A2C" w:rsidRPr="00907DA0" w:rsidRDefault="00AC7A2C" w:rsidP="00907DA0">
      <w:pPr>
        <w:tabs>
          <w:tab w:val="left" w:pos="7680"/>
        </w:tabs>
        <w:spacing w:line="276" w:lineRule="auto"/>
        <w:jc w:val="both"/>
        <w:rPr>
          <w:bCs/>
        </w:rPr>
      </w:pPr>
    </w:p>
    <w:p w14:paraId="4FF96937" w14:textId="77777777" w:rsidR="00AC7A2C" w:rsidRPr="00907DA0" w:rsidRDefault="00AC7A2C" w:rsidP="00907DA0">
      <w:pPr>
        <w:tabs>
          <w:tab w:val="left" w:pos="7680"/>
        </w:tabs>
        <w:spacing w:line="276" w:lineRule="auto"/>
        <w:jc w:val="both"/>
      </w:pPr>
      <w:r w:rsidRPr="00907DA0">
        <w:rPr>
          <w:bCs/>
        </w:rPr>
        <w:t xml:space="preserve">Vendimi mbi shpenzimet procedurale u </w:t>
      </w:r>
      <w:proofErr w:type="spellStart"/>
      <w:r w:rsidRPr="00907DA0">
        <w:rPr>
          <w:bCs/>
        </w:rPr>
        <w:t>muar</w:t>
      </w:r>
      <w:proofErr w:type="spellEnd"/>
      <w:r w:rsidRPr="00907DA0">
        <w:rPr>
          <w:bCs/>
        </w:rPr>
        <w:t xml:space="preserve"> sipas nenit 449 dhe 452 par. 1 të LPK-së, me ç ‘rast paditëses iu pranua shume e përgjithshme e shpenzimeve në vlerë prej 269.00€. Lartësia e shpenzimeve i referohet shpenzimeve për  pagesën e taksës gjyqësorë në vlerë prej 30,00€ (e paraparë sipas Udhëzimit Administrativ Nr.01/2017 për Unifikimin e Taksave Gjyqësore), për përpilimin e padisë shuma prej 104,00€ si dhe përfaqësimin e të autorizuarit të paditësit në një seancë, shuma në vlerë prej 135,00€ (të parapara sipas tarifës së Odës së Avokatëve të Kosovës).</w:t>
      </w:r>
    </w:p>
    <w:p w14:paraId="2E463AB9" w14:textId="77777777" w:rsidR="00AC7A2C" w:rsidRPr="00907DA0" w:rsidRDefault="00AC7A2C" w:rsidP="00907DA0">
      <w:pPr>
        <w:tabs>
          <w:tab w:val="left" w:pos="7680"/>
        </w:tabs>
        <w:spacing w:line="276" w:lineRule="auto"/>
        <w:ind w:left="331"/>
        <w:jc w:val="both"/>
      </w:pPr>
    </w:p>
    <w:p w14:paraId="57479995" w14:textId="77777777" w:rsidR="00AC7A2C" w:rsidRPr="00907DA0" w:rsidRDefault="00AC7A2C" w:rsidP="00907DA0">
      <w:pPr>
        <w:tabs>
          <w:tab w:val="left" w:pos="7680"/>
        </w:tabs>
        <w:spacing w:line="276" w:lineRule="auto"/>
        <w:jc w:val="both"/>
      </w:pPr>
      <w:r w:rsidRPr="00907DA0">
        <w:t xml:space="preserve">Nga sa u tha më lartë, në përputhje me nenin 143 LPK-së, gjykata vendosi si në dispozitiv të këtij aktgjykimi. </w:t>
      </w:r>
    </w:p>
    <w:p w14:paraId="70DBC2D1" w14:textId="77777777" w:rsidR="00AC7A2C" w:rsidRPr="00907DA0" w:rsidRDefault="00AC7A2C" w:rsidP="00907DA0">
      <w:pPr>
        <w:tabs>
          <w:tab w:val="left" w:pos="7680"/>
        </w:tabs>
        <w:spacing w:line="276" w:lineRule="auto"/>
        <w:jc w:val="both"/>
      </w:pPr>
    </w:p>
    <w:p w14:paraId="39CDB606" w14:textId="77777777" w:rsidR="00AC7A2C" w:rsidRPr="00907DA0" w:rsidRDefault="00AC7A2C" w:rsidP="00907DA0">
      <w:pPr>
        <w:spacing w:line="276" w:lineRule="auto"/>
        <w:jc w:val="both"/>
      </w:pPr>
      <w:r w:rsidRPr="00907DA0">
        <w:t xml:space="preserve">                                           GJYKATA THEMELORE NË GJAKOVË</w:t>
      </w:r>
    </w:p>
    <w:p w14:paraId="23CCE5D0" w14:textId="77777777" w:rsidR="00AC7A2C" w:rsidRPr="00907DA0" w:rsidRDefault="00AC7A2C" w:rsidP="00907DA0">
      <w:pPr>
        <w:spacing w:line="276" w:lineRule="auto"/>
        <w:ind w:left="10" w:right="5"/>
        <w:jc w:val="center"/>
      </w:pPr>
      <w:r w:rsidRPr="00907DA0">
        <w:t>Departamenti i Përgjithshëm</w:t>
      </w:r>
    </w:p>
    <w:p w14:paraId="06992A0B" w14:textId="77777777" w:rsidR="00AC7A2C" w:rsidRPr="00907DA0" w:rsidRDefault="00AC7A2C" w:rsidP="00907DA0">
      <w:pPr>
        <w:spacing w:line="276" w:lineRule="auto"/>
        <w:ind w:left="10" w:right="5"/>
        <w:jc w:val="center"/>
      </w:pPr>
      <w:r w:rsidRPr="00907DA0">
        <w:t xml:space="preserve">C.nr.735/21 datë 8 Qershor 2022 </w:t>
      </w:r>
    </w:p>
    <w:p w14:paraId="3CEE946E" w14:textId="77777777" w:rsidR="00AC7A2C" w:rsidRPr="00907DA0" w:rsidRDefault="00AC7A2C" w:rsidP="00907DA0">
      <w:pPr>
        <w:spacing w:line="276" w:lineRule="auto"/>
        <w:jc w:val="both"/>
      </w:pPr>
      <w:r w:rsidRPr="00907DA0">
        <w:t xml:space="preserve">                                                                                       </w:t>
      </w:r>
    </w:p>
    <w:p w14:paraId="27C10ECA" w14:textId="77777777" w:rsidR="00AC7A2C" w:rsidRPr="00907DA0" w:rsidRDefault="00AC7A2C" w:rsidP="00907DA0">
      <w:pPr>
        <w:spacing w:after="10" w:line="276" w:lineRule="auto"/>
        <w:ind w:left="-5"/>
        <w:jc w:val="right"/>
      </w:pPr>
      <w:r w:rsidRPr="00907DA0">
        <w:t xml:space="preserve">                                                                                                                                 G j y q t a r j a,</w:t>
      </w:r>
    </w:p>
    <w:p w14:paraId="34611228" w14:textId="77777777" w:rsidR="00AC7A2C" w:rsidRPr="00907DA0" w:rsidRDefault="00AC7A2C" w:rsidP="00907DA0">
      <w:pPr>
        <w:spacing w:after="10" w:line="276" w:lineRule="auto"/>
        <w:ind w:left="-5"/>
        <w:jc w:val="right"/>
      </w:pPr>
      <w:r w:rsidRPr="00907DA0">
        <w:t xml:space="preserve">                                                                                                                                Mirjeta Shala</w:t>
      </w:r>
    </w:p>
    <w:p w14:paraId="0B0259E8" w14:textId="77777777" w:rsidR="00AC7A2C" w:rsidRPr="00907DA0" w:rsidRDefault="00AC7A2C" w:rsidP="00907DA0">
      <w:pPr>
        <w:spacing w:after="10" w:line="276" w:lineRule="auto"/>
        <w:ind w:left="-5"/>
        <w:jc w:val="right"/>
      </w:pPr>
    </w:p>
    <w:p w14:paraId="1C448695" w14:textId="77777777" w:rsidR="00B34C45" w:rsidRPr="00907DA0" w:rsidRDefault="00B34C45" w:rsidP="00907DA0">
      <w:pPr>
        <w:spacing w:line="276" w:lineRule="auto"/>
        <w:ind w:left="-5"/>
        <w:jc w:val="both"/>
      </w:pPr>
    </w:p>
    <w:p w14:paraId="2C9553E0" w14:textId="67B2D4F7" w:rsidR="000B444F" w:rsidRPr="00907DA0" w:rsidRDefault="00AC7A2C" w:rsidP="00907DA0">
      <w:pPr>
        <w:spacing w:line="276" w:lineRule="auto"/>
        <w:ind w:left="-5"/>
        <w:jc w:val="both"/>
      </w:pPr>
      <w:r w:rsidRPr="00907DA0">
        <w:t>KËSHILLË JURIDIKE: Kundër këtij aktgjykimi pala e pakënaqur ka të drejtë ankese në afat prej 7 ditësh, nga dita e marrjes së të njëjtit, Gjykatës së Apelit në Prishtinë, përmes kësaj Gjykate.</w:t>
      </w:r>
    </w:p>
    <w:sectPr w:rsidR="000B444F" w:rsidRPr="00907DA0" w:rsidSect="00B34C45">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36B1" w14:textId="77777777" w:rsidR="002A009B" w:rsidRDefault="002A009B" w:rsidP="004369F3">
      <w:r>
        <w:separator/>
      </w:r>
    </w:p>
  </w:endnote>
  <w:endnote w:type="continuationSeparator" w:id="0">
    <w:p w14:paraId="28AB29C2" w14:textId="77777777" w:rsidR="002A009B" w:rsidRDefault="002A009B"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7D6FB974" w:rsidR="00EB64E5" w:rsidRDefault="006F6B3F" w:rsidP="00EB64E5">
    <w:pPr>
      <w:pStyle w:val="Footer"/>
      <w:jc w:val="center"/>
    </w:pPr>
    <w:r>
      <w:rPr>
        <w:noProof/>
        <w:lang w:eastAsia="sq-AL"/>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2021:110377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2021:110377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25081">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25081">
      <w:rPr>
        <w:noProof/>
      </w:rPr>
      <w:t>4</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69D8068B" w:rsidR="00EB64E5" w:rsidRDefault="005A3D57">
    <w:pPr>
      <w:pStyle w:val="Footer"/>
      <w:jc w:val="center"/>
    </w:pPr>
    <w:r>
      <w:rPr>
        <w:noProof/>
        <w:lang w:eastAsia="sq-AL"/>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2021:110377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2021:110377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25081">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25081">
      <w:rPr>
        <w:noProof/>
      </w:rPr>
      <w:t>4</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C91C" w14:textId="77777777" w:rsidR="002A009B" w:rsidRDefault="002A009B" w:rsidP="004369F3">
      <w:r>
        <w:separator/>
      </w:r>
    </w:p>
  </w:footnote>
  <w:footnote w:type="continuationSeparator" w:id="0">
    <w:p w14:paraId="235749A6" w14:textId="77777777" w:rsidR="002A009B" w:rsidRDefault="002A009B"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2021:110376</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21.06.2022</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03157049</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Borders>
        <w:bottom w:val="single" w:sz="12" w:space="0" w:color="FF0000"/>
        <w:insideV w:val="single" w:sz="12" w:space="0" w:color="FF0000"/>
      </w:tblBorders>
      <w:tblLook w:val="04A0" w:firstRow="1" w:lastRow="0" w:firstColumn="1" w:lastColumn="0" w:noHBand="0" w:noVBand="1"/>
    </w:tblPr>
    <w:tblGrid>
      <w:gridCol w:w="9306"/>
    </w:tblGrid>
    <w:tr w:rsidR="00EF409B" w:rsidRPr="00F40D4F" w14:paraId="00E2C5B1" w14:textId="77777777" w:rsidTr="00EF409B">
      <w:trPr>
        <w:trHeight w:val="1170"/>
      </w:trPr>
      <w:tc>
        <w:tcPr>
          <w:tcW w:w="9306" w:type="dxa"/>
          <w:shd w:val="clear" w:color="auto" w:fill="auto"/>
        </w:tcPr>
        <w:p w14:paraId="24F90934" w14:textId="77777777" w:rsidR="00EF409B" w:rsidRPr="00C21B39" w:rsidRDefault="00EF409B" w:rsidP="00EF409B">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D171F9" wp14:editId="7F0E5018">
                <wp:extent cx="775154" cy="857250"/>
                <wp:effectExtent l="0" t="0" r="6350" b="0"/>
                <wp:docPr id="8" name="Picture 8"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38" cy="860882"/>
                        </a:xfrm>
                        <a:prstGeom prst="rect">
                          <a:avLst/>
                        </a:prstGeom>
                        <a:noFill/>
                        <a:ln>
                          <a:noFill/>
                        </a:ln>
                      </pic:spPr>
                    </pic:pic>
                  </a:graphicData>
                </a:graphic>
              </wp:inline>
            </w:drawing>
          </w:r>
        </w:p>
      </w:tc>
    </w:tr>
    <w:tr w:rsidR="00EF409B" w:rsidRPr="00C50388" w14:paraId="57F43E39" w14:textId="77777777" w:rsidTr="00EF409B">
      <w:tc>
        <w:tcPr>
          <w:tcW w:w="9306" w:type="dxa"/>
          <w:shd w:val="clear" w:color="auto" w:fill="auto"/>
        </w:tcPr>
        <w:p w14:paraId="16C6DAD0" w14:textId="77777777" w:rsidR="00EF409B" w:rsidRDefault="00EF409B" w:rsidP="00EF409B">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14:paraId="65C52A4A" w14:textId="77777777" w:rsidR="00EF409B" w:rsidRPr="00B25C43" w:rsidRDefault="00EF409B" w:rsidP="00EF409B">
          <w:pPr>
            <w:rPr>
              <w:lang w:val="sv-SE"/>
            </w:rPr>
          </w:pPr>
        </w:p>
      </w:tc>
    </w:tr>
    <w:tr w:rsidR="00EF409B" w:rsidRPr="00F40D4F" w14:paraId="41730D49" w14:textId="77777777" w:rsidTr="00EF409B">
      <w:tc>
        <w:tcPr>
          <w:tcW w:w="9306" w:type="dxa"/>
          <w:shd w:val="clear" w:color="auto" w:fill="auto"/>
        </w:tcPr>
        <w:p w14:paraId="5003F110" w14:textId="77777777" w:rsidR="00EF409B" w:rsidRPr="00C91168" w:rsidRDefault="002A009B" w:rsidP="00EF409B">
          <w:pPr>
            <w:pStyle w:val="Subtitle"/>
            <w:tabs>
              <w:tab w:val="left" w:pos="184"/>
              <w:tab w:val="left" w:pos="252"/>
              <w:tab w:val="center" w:pos="2198"/>
            </w:tabs>
            <w:spacing w:after="0"/>
            <w:rPr>
              <w:rFonts w:asciiTheme="majorHAnsi" w:hAnsiTheme="majorHAnsi" w:cs="Aparajita"/>
            </w:rPr>
          </w:pPr>
          <w:sdt>
            <w:sdtPr>
              <w:alias w:val="Emri i gjykates"/>
              <w:tag w:val="court.nameOfCourt"/>
              <w:id w:val="-784652946"/>
              <w:placeholder>
                <w:docPart w:val="B4F7F89E5C044CFF9F29F3F4BCC6DAC1"/>
              </w:placeholder>
              <w:text/>
            </w:sdtPr>
            <w:sdtEndPr/>
            <w:sdtContent>
              <w:r w:rsidR="00EF409B" w:rsidRPr="00C91168">
                <w:t>GJYKATA THEMELORE GJAKOVË</w:t>
              </w:r>
            </w:sdtContent>
          </w:sdt>
        </w:p>
        <w:p w14:paraId="4243E348" w14:textId="77777777" w:rsidR="00EF409B" w:rsidRPr="00C91168" w:rsidRDefault="00EF409B" w:rsidP="00EF409B">
          <w:pPr>
            <w:jc w:val="center"/>
          </w:pPr>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5E26"/>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009B"/>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E58E3"/>
    <w:rsid w:val="006F1A09"/>
    <w:rsid w:val="006F5482"/>
    <w:rsid w:val="006F6B3F"/>
    <w:rsid w:val="00704DE9"/>
    <w:rsid w:val="007102E0"/>
    <w:rsid w:val="00710486"/>
    <w:rsid w:val="0071253C"/>
    <w:rsid w:val="00717D13"/>
    <w:rsid w:val="00725081"/>
    <w:rsid w:val="0073055C"/>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B0307"/>
    <w:rsid w:val="008C15D0"/>
    <w:rsid w:val="008C1A0D"/>
    <w:rsid w:val="008C25B1"/>
    <w:rsid w:val="008C3F96"/>
    <w:rsid w:val="008D751B"/>
    <w:rsid w:val="008E0E4C"/>
    <w:rsid w:val="008F22C2"/>
    <w:rsid w:val="008F53A2"/>
    <w:rsid w:val="008F6FDD"/>
    <w:rsid w:val="009035CB"/>
    <w:rsid w:val="00907DA0"/>
    <w:rsid w:val="00914EFD"/>
    <w:rsid w:val="009212D4"/>
    <w:rsid w:val="0092324F"/>
    <w:rsid w:val="00934983"/>
    <w:rsid w:val="009464EF"/>
    <w:rsid w:val="00951C20"/>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1388"/>
    <w:rsid w:val="00AB48D0"/>
    <w:rsid w:val="00AB5A48"/>
    <w:rsid w:val="00AB7972"/>
    <w:rsid w:val="00AC2962"/>
    <w:rsid w:val="00AC41BC"/>
    <w:rsid w:val="00AC7A2C"/>
    <w:rsid w:val="00AE268D"/>
    <w:rsid w:val="00B12D5F"/>
    <w:rsid w:val="00B219B8"/>
    <w:rsid w:val="00B21DC0"/>
    <w:rsid w:val="00B34C45"/>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3F6F"/>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409B"/>
    <w:rsid w:val="00EF5621"/>
    <w:rsid w:val="00EF7DF9"/>
    <w:rsid w:val="00F0404C"/>
    <w:rsid w:val="00F27CC5"/>
    <w:rsid w:val="00F351BC"/>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E3C4A"/>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3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styleId="NormalWeb">
    <w:name w:val="Normal (Web)"/>
    <w:basedOn w:val="Normal"/>
    <w:uiPriority w:val="99"/>
    <w:semiHidden/>
    <w:unhideWhenUsed/>
    <w:rsid w:val="00AC7A2C"/>
    <w:pPr>
      <w:spacing w:before="100" w:beforeAutospacing="1" w:after="100" w:afterAutospacing="1"/>
    </w:pPr>
    <w:rPr>
      <w:rFonts w:eastAsia="Times New Roman"/>
      <w:lang w:val="en-US"/>
    </w:rPr>
  </w:style>
  <w:style w:type="character" w:customStyle="1" w:styleId="fontstyle01">
    <w:name w:val="fontstyle01"/>
    <w:basedOn w:val="DefaultParagraphFont"/>
    <w:rsid w:val="00AC7A2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78536923">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
      <w:docPartPr>
        <w:name w:val="B4F7F89E5C044CFF9F29F3F4BCC6DAC1"/>
        <w:category>
          <w:name w:val="General"/>
          <w:gallery w:val="placeholder"/>
        </w:category>
        <w:types>
          <w:type w:val="bbPlcHdr"/>
        </w:types>
        <w:behaviors>
          <w:behavior w:val="content"/>
        </w:behaviors>
        <w:guid w:val="{D0F11241-FA9A-460F-94A2-D103B949C31B}"/>
      </w:docPartPr>
      <w:docPartBody>
        <w:p w:rsidR="000C0412" w:rsidRDefault="007B7A3D" w:rsidP="007B7A3D">
          <w:pPr>
            <w:pStyle w:val="B4F7F89E5C044CFF9F29F3F4BCC6DAC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32FED"/>
    <w:rsid w:val="00066488"/>
    <w:rsid w:val="000B1E49"/>
    <w:rsid w:val="000C0412"/>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75401"/>
    <w:rsid w:val="00496BFB"/>
    <w:rsid w:val="0051602F"/>
    <w:rsid w:val="00520A20"/>
    <w:rsid w:val="00533905"/>
    <w:rsid w:val="00544EE6"/>
    <w:rsid w:val="00661C74"/>
    <w:rsid w:val="00695076"/>
    <w:rsid w:val="00724492"/>
    <w:rsid w:val="007252D4"/>
    <w:rsid w:val="00740F5A"/>
    <w:rsid w:val="007B4822"/>
    <w:rsid w:val="007B7A3D"/>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B84904"/>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A3D"/>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093F76A38CD649028BE78B29DE981310">
    <w:name w:val="093F76A38CD649028BE78B29DE981310"/>
    <w:rsid w:val="00B84904"/>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 w:type="paragraph" w:customStyle="1" w:styleId="B4F7F89E5C044CFF9F29F3F4BCC6DAC1">
    <w:name w:val="B4F7F89E5C044CFF9F29F3F4BCC6DAC1"/>
    <w:rsid w:val="007B7A3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27E7-98EA-4328-B8C2-8215FE80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Nentor Oseku</cp:lastModifiedBy>
  <cp:revision>11</cp:revision>
  <cp:lastPrinted>2013-07-17T08:22:00Z</cp:lastPrinted>
  <dcterms:created xsi:type="dcterms:W3CDTF">2022-06-21T14:14:00Z</dcterms:created>
  <dcterms:modified xsi:type="dcterms:W3CDTF">2022-06-27T10:00:00Z</dcterms:modified>
</cp:coreProperties>
</file>